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349" w:rsidRDefault="007C1349" w:rsidP="007C1349">
      <w:pPr>
        <w:pStyle w:val="Header"/>
        <w:tabs>
          <w:tab w:val="clear" w:pos="4320"/>
          <w:tab w:val="clear" w:pos="8640"/>
        </w:tabs>
        <w:rPr>
          <w:rFonts w:ascii="Arial" w:hAnsi="Arial" w:cs="Arial"/>
        </w:rPr>
      </w:pPr>
    </w:p>
    <w:p w:rsidR="007C1349" w:rsidRDefault="007C1349" w:rsidP="007C1349">
      <w:pPr>
        <w:pStyle w:val="Header"/>
        <w:tabs>
          <w:tab w:val="clear" w:pos="4320"/>
          <w:tab w:val="clear" w:pos="8640"/>
        </w:tabs>
        <w:rPr>
          <w:rFonts w:ascii="Arial" w:hAnsi="Arial" w:cs="Arial"/>
        </w:rPr>
      </w:pPr>
    </w:p>
    <w:p w:rsidR="007C1349" w:rsidRDefault="007C1349" w:rsidP="007C1349">
      <w:pPr>
        <w:pStyle w:val="Header"/>
        <w:tabs>
          <w:tab w:val="clear" w:pos="4320"/>
          <w:tab w:val="clear" w:pos="8640"/>
        </w:tabs>
        <w:rPr>
          <w:rFonts w:ascii="Arial" w:hAnsi="Arial" w:cs="Arial"/>
        </w:rPr>
      </w:pPr>
      <w:r>
        <w:rPr>
          <w:rFonts w:ascii="Arial" w:hAnsi="Arial" w:cs="Arial"/>
        </w:rPr>
        <w:t>Resolution #33 - Exempting Certain Referrals Mandated by General Municipal Law Section 239-m</w:t>
      </w:r>
    </w:p>
    <w:p w:rsidR="007C1349" w:rsidRDefault="007C1349" w:rsidP="007C1349">
      <w:pPr>
        <w:pStyle w:val="Header"/>
        <w:tabs>
          <w:tab w:val="clear" w:pos="4320"/>
          <w:tab w:val="clear" w:pos="8640"/>
        </w:tabs>
        <w:rPr>
          <w:rFonts w:ascii="Arial" w:hAnsi="Arial" w:cs="Arial"/>
        </w:rPr>
      </w:pPr>
    </w:p>
    <w:p w:rsidR="007C1349" w:rsidRPr="00F13113" w:rsidRDefault="007C1349" w:rsidP="007C1349">
      <w:pPr>
        <w:pStyle w:val="Header"/>
        <w:tabs>
          <w:tab w:val="clear" w:pos="4320"/>
          <w:tab w:val="clear" w:pos="8640"/>
        </w:tabs>
        <w:rPr>
          <w:rFonts w:ascii="Arial Narrow" w:hAnsi="Arial Narrow" w:cs="Arial"/>
          <w:sz w:val="20"/>
          <w:szCs w:val="20"/>
        </w:rPr>
      </w:pPr>
      <w:r w:rsidRPr="00F13113">
        <w:rPr>
          <w:rFonts w:ascii="Arial Narrow" w:hAnsi="Arial Narrow" w:cs="Arial"/>
          <w:sz w:val="20"/>
          <w:szCs w:val="20"/>
        </w:rPr>
        <w:t>WHEREAS, General Municipal Law Section 239-m requires that certain zoning actions be referred to the County Planning Board before any action is taken by the city, town or village having jurisdiction, and</w:t>
      </w:r>
    </w:p>
    <w:p w:rsidR="007C1349" w:rsidRPr="00F13113" w:rsidRDefault="007C1349" w:rsidP="007C1349">
      <w:pPr>
        <w:pStyle w:val="Header"/>
        <w:tabs>
          <w:tab w:val="clear" w:pos="4320"/>
          <w:tab w:val="clear" w:pos="8640"/>
        </w:tabs>
        <w:rPr>
          <w:rFonts w:ascii="Arial Narrow" w:hAnsi="Arial Narrow" w:cs="Arial"/>
          <w:sz w:val="20"/>
          <w:szCs w:val="20"/>
        </w:rPr>
      </w:pPr>
    </w:p>
    <w:p w:rsidR="007C1349" w:rsidRPr="00F13113" w:rsidRDefault="007C1349" w:rsidP="007C1349">
      <w:pPr>
        <w:pStyle w:val="Header"/>
        <w:tabs>
          <w:tab w:val="clear" w:pos="4320"/>
          <w:tab w:val="clear" w:pos="8640"/>
        </w:tabs>
        <w:rPr>
          <w:rFonts w:ascii="Arial Narrow" w:hAnsi="Arial Narrow" w:cs="Arial"/>
          <w:sz w:val="20"/>
          <w:szCs w:val="20"/>
        </w:rPr>
      </w:pPr>
      <w:r w:rsidRPr="00F13113">
        <w:rPr>
          <w:rFonts w:ascii="Arial Narrow" w:hAnsi="Arial Narrow" w:cs="Arial"/>
          <w:sz w:val="20"/>
          <w:szCs w:val="20"/>
        </w:rPr>
        <w:t>WHEREAS, many of these mandated referrals have no identifiable countywide or inter-community impact, and</w:t>
      </w:r>
    </w:p>
    <w:p w:rsidR="007C1349" w:rsidRPr="00F13113" w:rsidRDefault="007C1349" w:rsidP="007C1349">
      <w:pPr>
        <w:pStyle w:val="Header"/>
        <w:tabs>
          <w:tab w:val="clear" w:pos="4320"/>
          <w:tab w:val="clear" w:pos="8640"/>
        </w:tabs>
        <w:rPr>
          <w:rFonts w:ascii="Arial Narrow" w:hAnsi="Arial Narrow" w:cs="Arial"/>
          <w:sz w:val="20"/>
          <w:szCs w:val="20"/>
        </w:rPr>
      </w:pPr>
    </w:p>
    <w:p w:rsidR="007C1349" w:rsidRPr="00F13113" w:rsidRDefault="007C1349" w:rsidP="007C1349">
      <w:pPr>
        <w:pStyle w:val="Header"/>
        <w:tabs>
          <w:tab w:val="clear" w:pos="4320"/>
          <w:tab w:val="clear" w:pos="8640"/>
        </w:tabs>
        <w:rPr>
          <w:rFonts w:ascii="Arial Narrow" w:hAnsi="Arial Narrow" w:cs="Arial"/>
          <w:sz w:val="20"/>
          <w:szCs w:val="20"/>
        </w:rPr>
      </w:pPr>
      <w:r w:rsidRPr="00F13113">
        <w:rPr>
          <w:rFonts w:ascii="Arial Narrow" w:hAnsi="Arial Narrow" w:cs="Arial"/>
          <w:sz w:val="20"/>
          <w:szCs w:val="20"/>
        </w:rPr>
        <w:t>WHEREAS, General Municipal Law, Section 239-m-3-c, allows the municipality having jurisdiction and the County Planning Board to enter into an agreement that exempts certain actions from mandatory referral, and</w:t>
      </w:r>
    </w:p>
    <w:p w:rsidR="007C1349" w:rsidRPr="00F13113" w:rsidRDefault="007C1349" w:rsidP="007C1349">
      <w:pPr>
        <w:pStyle w:val="Header"/>
        <w:tabs>
          <w:tab w:val="clear" w:pos="4320"/>
          <w:tab w:val="clear" w:pos="8640"/>
        </w:tabs>
        <w:rPr>
          <w:rFonts w:ascii="Arial Narrow" w:hAnsi="Arial Narrow" w:cs="Arial"/>
          <w:sz w:val="20"/>
          <w:szCs w:val="20"/>
        </w:rPr>
      </w:pPr>
    </w:p>
    <w:p w:rsidR="007C1349" w:rsidRPr="00F13113" w:rsidRDefault="007C1349" w:rsidP="007C1349">
      <w:pPr>
        <w:pStyle w:val="Header"/>
        <w:tabs>
          <w:tab w:val="clear" w:pos="4320"/>
          <w:tab w:val="clear" w:pos="8640"/>
        </w:tabs>
        <w:rPr>
          <w:rFonts w:ascii="Arial Narrow" w:hAnsi="Arial Narrow" w:cs="Arial"/>
          <w:sz w:val="20"/>
          <w:szCs w:val="20"/>
        </w:rPr>
      </w:pPr>
      <w:r w:rsidRPr="00F13113">
        <w:rPr>
          <w:rFonts w:ascii="Arial Narrow" w:hAnsi="Arial Narrow" w:cs="Arial"/>
          <w:sz w:val="20"/>
          <w:szCs w:val="20"/>
        </w:rPr>
        <w:t>WHEREAS, the Columbia County Planning Board has determined that the following actions will not have an identified countywide or inter-community impact:</w:t>
      </w:r>
    </w:p>
    <w:p w:rsidR="007C1349" w:rsidRDefault="007C1349" w:rsidP="007C1349">
      <w:pPr>
        <w:pStyle w:val="Header"/>
        <w:tabs>
          <w:tab w:val="clear" w:pos="4320"/>
          <w:tab w:val="clear" w:pos="8640"/>
        </w:tabs>
        <w:rPr>
          <w:rFonts w:ascii="Arial" w:hAnsi="Arial" w:cs="Arial"/>
        </w:rPr>
      </w:pPr>
    </w:p>
    <w:p w:rsidR="007C1349" w:rsidRPr="00F13113" w:rsidRDefault="007C1349" w:rsidP="007C1349">
      <w:pPr>
        <w:pStyle w:val="Header"/>
        <w:numPr>
          <w:ilvl w:val="0"/>
          <w:numId w:val="1"/>
        </w:numPr>
        <w:tabs>
          <w:tab w:val="clear" w:pos="4320"/>
          <w:tab w:val="clear" w:pos="8640"/>
        </w:tabs>
        <w:rPr>
          <w:rFonts w:ascii="Arial Narrow" w:hAnsi="Arial Narrow" w:cs="Arial"/>
          <w:sz w:val="20"/>
          <w:szCs w:val="20"/>
        </w:rPr>
      </w:pPr>
      <w:r w:rsidRPr="00F13113">
        <w:rPr>
          <w:rFonts w:ascii="Arial Narrow" w:hAnsi="Arial Narrow" w:cs="Arial"/>
          <w:sz w:val="20"/>
          <w:szCs w:val="20"/>
        </w:rPr>
        <w:t>Any area variance seeking relief from a front yard, side yard or rear yard setback on an existing or prior approved parcel.</w:t>
      </w:r>
    </w:p>
    <w:p w:rsidR="007C1349" w:rsidRPr="00F13113" w:rsidRDefault="007C1349" w:rsidP="007C1349">
      <w:pPr>
        <w:pStyle w:val="Header"/>
        <w:numPr>
          <w:ilvl w:val="0"/>
          <w:numId w:val="1"/>
        </w:numPr>
        <w:tabs>
          <w:tab w:val="clear" w:pos="4320"/>
          <w:tab w:val="clear" w:pos="8640"/>
        </w:tabs>
        <w:rPr>
          <w:rFonts w:ascii="Arial Narrow" w:hAnsi="Arial Narrow" w:cs="Arial"/>
          <w:sz w:val="20"/>
          <w:szCs w:val="20"/>
        </w:rPr>
      </w:pPr>
      <w:r w:rsidRPr="00F13113">
        <w:rPr>
          <w:rFonts w:ascii="Arial Narrow" w:hAnsi="Arial Narrow" w:cs="Arial"/>
          <w:sz w:val="20"/>
          <w:szCs w:val="20"/>
        </w:rPr>
        <w:t>Any variance, site plan review or special permit for an oversized sign, for additional signage in excess of what is permitted in a specific zone or any sign that exceeds the maximum allowed height.</w:t>
      </w:r>
    </w:p>
    <w:p w:rsidR="007C1349" w:rsidRPr="00F13113" w:rsidRDefault="007C1349" w:rsidP="007C1349">
      <w:pPr>
        <w:pStyle w:val="Header"/>
        <w:numPr>
          <w:ilvl w:val="0"/>
          <w:numId w:val="1"/>
        </w:numPr>
        <w:tabs>
          <w:tab w:val="clear" w:pos="4320"/>
          <w:tab w:val="clear" w:pos="8640"/>
        </w:tabs>
        <w:rPr>
          <w:rFonts w:ascii="Arial Narrow" w:hAnsi="Arial Narrow" w:cs="Arial"/>
          <w:sz w:val="20"/>
          <w:szCs w:val="20"/>
        </w:rPr>
      </w:pPr>
      <w:r w:rsidRPr="00F13113">
        <w:rPr>
          <w:rFonts w:ascii="Arial Narrow" w:hAnsi="Arial Narrow" w:cs="Arial"/>
          <w:sz w:val="20"/>
          <w:szCs w:val="20"/>
        </w:rPr>
        <w:t>Any variance, site plan review or special permit required for the conversion of a single family residence into a two family residence, providing provisions are included in the local ordinance for Health Department approval of any on-lot system serving such conversion.</w:t>
      </w:r>
    </w:p>
    <w:p w:rsidR="007C1349" w:rsidRPr="00F13113" w:rsidRDefault="007C1349" w:rsidP="007C1349">
      <w:pPr>
        <w:pStyle w:val="Header"/>
        <w:numPr>
          <w:ilvl w:val="0"/>
          <w:numId w:val="1"/>
        </w:numPr>
        <w:tabs>
          <w:tab w:val="clear" w:pos="4320"/>
          <w:tab w:val="clear" w:pos="8640"/>
        </w:tabs>
        <w:rPr>
          <w:rFonts w:ascii="Arial Narrow" w:hAnsi="Arial Narrow" w:cs="Arial"/>
          <w:sz w:val="20"/>
          <w:szCs w:val="20"/>
        </w:rPr>
      </w:pPr>
      <w:r w:rsidRPr="00F13113">
        <w:rPr>
          <w:rFonts w:ascii="Arial Narrow" w:hAnsi="Arial Narrow" w:cs="Arial"/>
          <w:sz w:val="20"/>
          <w:szCs w:val="20"/>
        </w:rPr>
        <w:t>Any variance, site plan review or special permit required for any temporary use established pursuant to the provisions of the local ordinance.</w:t>
      </w:r>
    </w:p>
    <w:p w:rsidR="007C1349" w:rsidRPr="00F13113" w:rsidRDefault="007C1349" w:rsidP="007C1349">
      <w:pPr>
        <w:pStyle w:val="Header"/>
        <w:numPr>
          <w:ilvl w:val="0"/>
          <w:numId w:val="1"/>
        </w:numPr>
        <w:tabs>
          <w:tab w:val="clear" w:pos="4320"/>
          <w:tab w:val="clear" w:pos="8640"/>
        </w:tabs>
        <w:rPr>
          <w:rFonts w:ascii="Arial Narrow" w:hAnsi="Arial Narrow" w:cs="Arial"/>
          <w:sz w:val="20"/>
          <w:szCs w:val="20"/>
        </w:rPr>
      </w:pPr>
      <w:r w:rsidRPr="00F13113">
        <w:rPr>
          <w:rFonts w:ascii="Arial Narrow" w:hAnsi="Arial Narrow" w:cs="Arial"/>
          <w:sz w:val="20"/>
          <w:szCs w:val="20"/>
        </w:rPr>
        <w:t>Any variance required for any fence including height, setback, materials or construction methods, except that no fence required by the N.Y.S. Uniform Fire Prevention and Building Code shall be the subject of any variance considered by the local Zoning Board of Appeals.</w:t>
      </w:r>
    </w:p>
    <w:p w:rsidR="007C1349" w:rsidRPr="00F13113" w:rsidRDefault="007C1349" w:rsidP="007C1349">
      <w:pPr>
        <w:pStyle w:val="Header"/>
        <w:numPr>
          <w:ilvl w:val="0"/>
          <w:numId w:val="1"/>
        </w:numPr>
        <w:tabs>
          <w:tab w:val="clear" w:pos="4320"/>
          <w:tab w:val="clear" w:pos="8640"/>
        </w:tabs>
        <w:rPr>
          <w:rFonts w:ascii="Arial Narrow" w:hAnsi="Arial Narrow" w:cs="Arial"/>
          <w:sz w:val="20"/>
          <w:szCs w:val="20"/>
        </w:rPr>
      </w:pPr>
      <w:r w:rsidRPr="00F13113">
        <w:rPr>
          <w:rFonts w:ascii="Arial Narrow" w:hAnsi="Arial Narrow" w:cs="Arial"/>
          <w:sz w:val="20"/>
          <w:szCs w:val="20"/>
        </w:rPr>
        <w:t>Any variance required pursuant to a Historic District Review that deals with architectural materials or features of an existing or new structure.</w:t>
      </w:r>
    </w:p>
    <w:p w:rsidR="007C1349" w:rsidRPr="00F13113" w:rsidRDefault="007C1349" w:rsidP="007C1349">
      <w:pPr>
        <w:pStyle w:val="Header"/>
        <w:numPr>
          <w:ilvl w:val="0"/>
          <w:numId w:val="1"/>
        </w:numPr>
        <w:tabs>
          <w:tab w:val="clear" w:pos="4320"/>
          <w:tab w:val="clear" w:pos="8640"/>
        </w:tabs>
        <w:rPr>
          <w:rFonts w:ascii="Arial Narrow" w:hAnsi="Arial Narrow" w:cs="Arial"/>
          <w:sz w:val="20"/>
          <w:szCs w:val="20"/>
        </w:rPr>
      </w:pPr>
      <w:r w:rsidRPr="00F13113">
        <w:rPr>
          <w:rFonts w:ascii="Arial Narrow" w:hAnsi="Arial Narrow" w:cs="Arial"/>
          <w:sz w:val="20"/>
          <w:szCs w:val="20"/>
        </w:rPr>
        <w:t>Any area variance required for the creation of an undersized parcel via the sub-division process, providing the Health Department has approved the on-lot well and septic system locations.</w:t>
      </w:r>
    </w:p>
    <w:p w:rsidR="007C1349" w:rsidRPr="00F13113" w:rsidRDefault="007C1349" w:rsidP="007C1349">
      <w:pPr>
        <w:pStyle w:val="Header"/>
        <w:numPr>
          <w:ilvl w:val="0"/>
          <w:numId w:val="1"/>
        </w:numPr>
        <w:tabs>
          <w:tab w:val="clear" w:pos="4320"/>
          <w:tab w:val="clear" w:pos="8640"/>
        </w:tabs>
        <w:rPr>
          <w:rFonts w:ascii="Arial Narrow" w:hAnsi="Arial Narrow" w:cs="Arial"/>
          <w:sz w:val="20"/>
          <w:szCs w:val="20"/>
        </w:rPr>
      </w:pPr>
      <w:r w:rsidRPr="00F13113">
        <w:rPr>
          <w:rFonts w:ascii="Arial Narrow" w:hAnsi="Arial Narrow" w:cs="Arial"/>
          <w:sz w:val="20"/>
          <w:szCs w:val="20"/>
        </w:rPr>
        <w:t>Any variance, site plan review or special permit required for the expansion of an existing business or commercial use providing the expansion is located in the side or rear yard of the parcel and that the expansion does not exceed 50% of the existing building size.</w:t>
      </w:r>
    </w:p>
    <w:p w:rsidR="007C1349" w:rsidRPr="00F13113" w:rsidRDefault="007C1349" w:rsidP="007C1349">
      <w:pPr>
        <w:pStyle w:val="Header"/>
        <w:numPr>
          <w:ilvl w:val="0"/>
          <w:numId w:val="1"/>
        </w:numPr>
        <w:tabs>
          <w:tab w:val="clear" w:pos="4320"/>
          <w:tab w:val="clear" w:pos="8640"/>
        </w:tabs>
        <w:rPr>
          <w:rFonts w:ascii="Arial Narrow" w:hAnsi="Arial Narrow" w:cs="Arial"/>
          <w:sz w:val="20"/>
          <w:szCs w:val="20"/>
        </w:rPr>
      </w:pPr>
      <w:r w:rsidRPr="00F13113">
        <w:rPr>
          <w:rFonts w:ascii="Arial Narrow" w:hAnsi="Arial Narrow" w:cs="Arial"/>
          <w:sz w:val="20"/>
          <w:szCs w:val="20"/>
        </w:rPr>
        <w:t>Any variance, site plan review or special permit required to establish a permitted home occupation within an existing residence or accessory structure.</w:t>
      </w:r>
    </w:p>
    <w:p w:rsidR="007C1349" w:rsidRPr="00F13113" w:rsidRDefault="007C1349" w:rsidP="007C1349">
      <w:pPr>
        <w:pStyle w:val="Header"/>
        <w:numPr>
          <w:ilvl w:val="0"/>
          <w:numId w:val="1"/>
        </w:numPr>
        <w:tabs>
          <w:tab w:val="clear" w:pos="4320"/>
          <w:tab w:val="clear" w:pos="8640"/>
        </w:tabs>
        <w:rPr>
          <w:rFonts w:ascii="Arial Narrow" w:hAnsi="Arial Narrow" w:cs="Arial"/>
          <w:sz w:val="20"/>
          <w:szCs w:val="20"/>
        </w:rPr>
      </w:pPr>
      <w:r w:rsidRPr="00F13113">
        <w:rPr>
          <w:rFonts w:ascii="Arial Narrow" w:hAnsi="Arial Narrow" w:cs="Arial"/>
          <w:sz w:val="20"/>
          <w:szCs w:val="20"/>
        </w:rPr>
        <w:t>Any variance, site plan review or special permit required for the replacement of an existing mobile home with another.</w:t>
      </w:r>
    </w:p>
    <w:p w:rsidR="007C1349" w:rsidRPr="00F13113" w:rsidRDefault="007C1349" w:rsidP="007C1349">
      <w:pPr>
        <w:pStyle w:val="Header"/>
        <w:numPr>
          <w:ilvl w:val="0"/>
          <w:numId w:val="1"/>
        </w:numPr>
        <w:tabs>
          <w:tab w:val="clear" w:pos="4320"/>
          <w:tab w:val="clear" w:pos="8640"/>
        </w:tabs>
        <w:rPr>
          <w:rFonts w:ascii="Arial Narrow" w:hAnsi="Arial Narrow" w:cs="Arial"/>
          <w:sz w:val="20"/>
          <w:szCs w:val="20"/>
        </w:rPr>
      </w:pPr>
      <w:r w:rsidRPr="00F13113">
        <w:rPr>
          <w:rFonts w:ascii="Arial Narrow" w:hAnsi="Arial Narrow" w:cs="Arial"/>
          <w:sz w:val="20"/>
          <w:szCs w:val="20"/>
        </w:rPr>
        <w:t>Any area variance, site plan review or special permit required for the erection of any permitted accessory structure or use within the required side or rear yards of an existing parcel.</w:t>
      </w:r>
    </w:p>
    <w:p w:rsidR="007C1349" w:rsidRPr="00F13113" w:rsidRDefault="007C1349" w:rsidP="007C1349">
      <w:pPr>
        <w:pStyle w:val="Header"/>
        <w:numPr>
          <w:ilvl w:val="0"/>
          <w:numId w:val="1"/>
        </w:numPr>
        <w:tabs>
          <w:tab w:val="clear" w:pos="4320"/>
          <w:tab w:val="clear" w:pos="8640"/>
        </w:tabs>
        <w:rPr>
          <w:rFonts w:ascii="Arial Narrow" w:hAnsi="Arial Narrow" w:cs="Arial"/>
          <w:sz w:val="20"/>
          <w:szCs w:val="20"/>
        </w:rPr>
      </w:pPr>
      <w:r w:rsidRPr="00F13113">
        <w:rPr>
          <w:rFonts w:ascii="Arial Narrow" w:hAnsi="Arial Narrow" w:cs="Arial"/>
          <w:sz w:val="20"/>
          <w:szCs w:val="20"/>
        </w:rPr>
        <w:t>Any variance, site plan review or special permit required to establish more than one residence on a single parcel providing that each residence is located in a manner that would allow for a theoretical sub-division at a future date.</w:t>
      </w:r>
    </w:p>
    <w:p w:rsidR="007C1349" w:rsidRPr="00F13113" w:rsidRDefault="007C1349" w:rsidP="007C1349">
      <w:pPr>
        <w:pStyle w:val="Header"/>
        <w:numPr>
          <w:ilvl w:val="0"/>
          <w:numId w:val="1"/>
        </w:numPr>
        <w:tabs>
          <w:tab w:val="clear" w:pos="4320"/>
          <w:tab w:val="clear" w:pos="8640"/>
        </w:tabs>
        <w:rPr>
          <w:rFonts w:ascii="Arial Narrow" w:hAnsi="Arial Narrow" w:cs="Arial"/>
          <w:sz w:val="20"/>
          <w:szCs w:val="20"/>
        </w:rPr>
      </w:pPr>
      <w:r w:rsidRPr="00F13113">
        <w:rPr>
          <w:rFonts w:ascii="Arial Narrow" w:hAnsi="Arial Narrow" w:cs="Arial"/>
          <w:sz w:val="20"/>
          <w:szCs w:val="20"/>
        </w:rPr>
        <w:t>Any variance, site plan review or special permit for a mining operation of a scale that would not require a Mined Land Reclamation Permit from NYSDEC.</w:t>
      </w:r>
    </w:p>
    <w:p w:rsidR="007C1349" w:rsidRPr="00F13113" w:rsidRDefault="007C1349" w:rsidP="007C1349">
      <w:pPr>
        <w:pStyle w:val="Header"/>
        <w:numPr>
          <w:ilvl w:val="0"/>
          <w:numId w:val="1"/>
        </w:numPr>
        <w:tabs>
          <w:tab w:val="clear" w:pos="4320"/>
          <w:tab w:val="clear" w:pos="8640"/>
        </w:tabs>
        <w:rPr>
          <w:rFonts w:ascii="Arial Narrow" w:hAnsi="Arial Narrow" w:cs="Arial"/>
          <w:sz w:val="20"/>
          <w:szCs w:val="20"/>
        </w:rPr>
      </w:pPr>
      <w:r w:rsidRPr="00F13113">
        <w:rPr>
          <w:rFonts w:ascii="Arial Narrow" w:hAnsi="Arial Narrow" w:cs="Arial"/>
          <w:sz w:val="20"/>
          <w:szCs w:val="20"/>
        </w:rPr>
        <w:t>Any action by a local municipal board that would establish a temporary developmental moratorium providing the length of the moratorium does not exceed three (3) months.</w:t>
      </w:r>
    </w:p>
    <w:p w:rsidR="007C1349" w:rsidRPr="00F13113" w:rsidRDefault="007C1349" w:rsidP="007C1349">
      <w:pPr>
        <w:pStyle w:val="Header"/>
        <w:numPr>
          <w:ilvl w:val="0"/>
          <w:numId w:val="1"/>
        </w:numPr>
        <w:tabs>
          <w:tab w:val="clear" w:pos="4320"/>
          <w:tab w:val="clear" w:pos="8640"/>
        </w:tabs>
        <w:rPr>
          <w:rFonts w:ascii="Arial Narrow" w:hAnsi="Arial Narrow" w:cs="Arial"/>
          <w:sz w:val="20"/>
          <w:szCs w:val="20"/>
        </w:rPr>
      </w:pPr>
      <w:r w:rsidRPr="00F13113">
        <w:rPr>
          <w:rFonts w:ascii="Arial Narrow" w:hAnsi="Arial Narrow" w:cs="Arial"/>
          <w:sz w:val="20"/>
          <w:szCs w:val="20"/>
        </w:rPr>
        <w:t>Any area variance, site plan review or special permit required for the installation of any type of radio communication antenna, but not including cellular or digital telephone towers or other person wireless communications facilities.</w:t>
      </w:r>
    </w:p>
    <w:p w:rsidR="007C1349" w:rsidRPr="00F13113" w:rsidRDefault="007C1349" w:rsidP="007C1349">
      <w:pPr>
        <w:pStyle w:val="Header"/>
        <w:numPr>
          <w:ilvl w:val="0"/>
          <w:numId w:val="1"/>
        </w:numPr>
        <w:tabs>
          <w:tab w:val="clear" w:pos="4320"/>
          <w:tab w:val="clear" w:pos="8640"/>
        </w:tabs>
        <w:rPr>
          <w:rFonts w:ascii="Arial Narrow" w:hAnsi="Arial Narrow" w:cs="Arial"/>
          <w:sz w:val="20"/>
          <w:szCs w:val="20"/>
        </w:rPr>
      </w:pPr>
      <w:r w:rsidRPr="00F13113">
        <w:rPr>
          <w:rFonts w:ascii="Arial Narrow" w:hAnsi="Arial Narrow" w:cs="Arial"/>
          <w:sz w:val="20"/>
          <w:szCs w:val="20"/>
        </w:rPr>
        <w:t>Any variance, site plan review or special permit required for the installation of any requirements pursuant to the American Disabilities Act.</w:t>
      </w:r>
    </w:p>
    <w:p w:rsidR="007C1349" w:rsidRPr="00F13113" w:rsidRDefault="007C1349" w:rsidP="007C1349">
      <w:pPr>
        <w:pStyle w:val="Header"/>
        <w:numPr>
          <w:ilvl w:val="0"/>
          <w:numId w:val="1"/>
        </w:numPr>
        <w:tabs>
          <w:tab w:val="clear" w:pos="4320"/>
          <w:tab w:val="clear" w:pos="8640"/>
        </w:tabs>
        <w:rPr>
          <w:rFonts w:ascii="Arial Narrow" w:hAnsi="Arial Narrow" w:cs="Arial"/>
          <w:sz w:val="20"/>
          <w:szCs w:val="20"/>
        </w:rPr>
      </w:pPr>
      <w:r w:rsidRPr="00F13113">
        <w:rPr>
          <w:rFonts w:ascii="Arial Narrow" w:hAnsi="Arial Narrow" w:cs="Arial"/>
          <w:sz w:val="20"/>
          <w:szCs w:val="20"/>
        </w:rPr>
        <w:t>Any variance, site plan review or special permit required for the creation of a pond, provided no NYSDEC permit is required due to the limited size and/or location of the pond.</w:t>
      </w:r>
    </w:p>
    <w:p w:rsidR="007C1349" w:rsidRPr="00F13113" w:rsidRDefault="007C1349" w:rsidP="007C1349">
      <w:pPr>
        <w:pStyle w:val="Header"/>
        <w:numPr>
          <w:ilvl w:val="0"/>
          <w:numId w:val="1"/>
        </w:numPr>
        <w:tabs>
          <w:tab w:val="clear" w:pos="4320"/>
          <w:tab w:val="clear" w:pos="8640"/>
        </w:tabs>
        <w:rPr>
          <w:rFonts w:ascii="Arial Narrow" w:hAnsi="Arial Narrow" w:cs="Arial"/>
          <w:sz w:val="20"/>
          <w:szCs w:val="20"/>
        </w:rPr>
      </w:pPr>
      <w:r w:rsidRPr="00F13113">
        <w:rPr>
          <w:rFonts w:ascii="Arial Narrow" w:hAnsi="Arial Narrow" w:cs="Arial"/>
          <w:sz w:val="20"/>
          <w:szCs w:val="20"/>
        </w:rPr>
        <w:t>Any variance, site plan review or special permit required for the establishment of a residential use on the second floor of a structure whose ground floor is occupied by a business or commercial use.</w:t>
      </w:r>
    </w:p>
    <w:p w:rsidR="007C1349" w:rsidRPr="00F13113" w:rsidRDefault="007C1349" w:rsidP="007C1349">
      <w:pPr>
        <w:pStyle w:val="Header"/>
        <w:numPr>
          <w:ilvl w:val="0"/>
          <w:numId w:val="1"/>
        </w:numPr>
        <w:tabs>
          <w:tab w:val="clear" w:pos="4320"/>
          <w:tab w:val="clear" w:pos="8640"/>
        </w:tabs>
        <w:rPr>
          <w:rFonts w:ascii="Arial Narrow" w:hAnsi="Arial Narrow" w:cs="Arial"/>
          <w:sz w:val="20"/>
          <w:szCs w:val="20"/>
        </w:rPr>
      </w:pPr>
      <w:r w:rsidRPr="00F13113">
        <w:rPr>
          <w:rFonts w:ascii="Arial Narrow" w:hAnsi="Arial Narrow" w:cs="Arial"/>
          <w:sz w:val="20"/>
          <w:szCs w:val="20"/>
        </w:rPr>
        <w:lastRenderedPageBreak/>
        <w:t>Any variance, site plan review or special permit required to establish a dwelling unit that is smaller in size than allowed by the local zoning ordinance.</w:t>
      </w:r>
    </w:p>
    <w:p w:rsidR="007C1349" w:rsidRPr="00F13113" w:rsidRDefault="007C1349" w:rsidP="007C1349">
      <w:pPr>
        <w:pStyle w:val="Header"/>
        <w:numPr>
          <w:ilvl w:val="0"/>
          <w:numId w:val="1"/>
        </w:numPr>
        <w:tabs>
          <w:tab w:val="clear" w:pos="4320"/>
          <w:tab w:val="clear" w:pos="8640"/>
        </w:tabs>
        <w:rPr>
          <w:rFonts w:ascii="Arial Narrow" w:hAnsi="Arial Narrow" w:cs="Arial"/>
          <w:sz w:val="20"/>
          <w:szCs w:val="20"/>
        </w:rPr>
      </w:pPr>
      <w:r w:rsidRPr="00F13113">
        <w:rPr>
          <w:rFonts w:ascii="Arial Narrow" w:hAnsi="Arial Narrow" w:cs="Arial"/>
          <w:sz w:val="20"/>
          <w:szCs w:val="20"/>
        </w:rPr>
        <w:t>Any variance, site plan review or special permit required to establish a second or subsequent business entity, not exceeding 10,000 square feet, operated by the owners or and located on an active farm operation.</w:t>
      </w:r>
    </w:p>
    <w:p w:rsidR="007C1349" w:rsidRDefault="007C1349" w:rsidP="007C1349">
      <w:pPr>
        <w:pStyle w:val="Header"/>
        <w:tabs>
          <w:tab w:val="clear" w:pos="4320"/>
          <w:tab w:val="clear" w:pos="8640"/>
        </w:tabs>
        <w:rPr>
          <w:rFonts w:ascii="Arial Narrow" w:hAnsi="Arial Narrow" w:cs="Arial"/>
          <w:sz w:val="20"/>
          <w:szCs w:val="20"/>
        </w:rPr>
      </w:pPr>
    </w:p>
    <w:p w:rsidR="007C1349" w:rsidRPr="00F13113" w:rsidRDefault="007C1349" w:rsidP="007C1349">
      <w:pPr>
        <w:pStyle w:val="Header"/>
        <w:tabs>
          <w:tab w:val="clear" w:pos="4320"/>
          <w:tab w:val="clear" w:pos="8640"/>
        </w:tabs>
        <w:rPr>
          <w:rFonts w:ascii="Arial Narrow" w:hAnsi="Arial Narrow" w:cs="Arial"/>
          <w:sz w:val="20"/>
          <w:szCs w:val="20"/>
        </w:rPr>
      </w:pPr>
      <w:r w:rsidRPr="00F13113">
        <w:rPr>
          <w:rFonts w:ascii="Arial Narrow" w:hAnsi="Arial Narrow" w:cs="Arial"/>
          <w:sz w:val="20"/>
          <w:szCs w:val="20"/>
        </w:rPr>
        <w:t>NOW, THEREFORE BE IT</w:t>
      </w:r>
    </w:p>
    <w:p w:rsidR="007C1349" w:rsidRDefault="007C1349" w:rsidP="007C1349">
      <w:pPr>
        <w:pStyle w:val="Header"/>
        <w:tabs>
          <w:tab w:val="clear" w:pos="4320"/>
          <w:tab w:val="clear" w:pos="8640"/>
        </w:tabs>
        <w:rPr>
          <w:rFonts w:ascii="Arial Narrow" w:hAnsi="Arial Narrow" w:cs="Arial"/>
          <w:sz w:val="20"/>
          <w:szCs w:val="20"/>
        </w:rPr>
      </w:pPr>
    </w:p>
    <w:p w:rsidR="007C1349" w:rsidRPr="00F13113" w:rsidRDefault="007C1349" w:rsidP="007C1349">
      <w:pPr>
        <w:pStyle w:val="Header"/>
        <w:tabs>
          <w:tab w:val="clear" w:pos="4320"/>
          <w:tab w:val="clear" w:pos="8640"/>
        </w:tabs>
        <w:rPr>
          <w:rFonts w:ascii="Arial Narrow" w:hAnsi="Arial Narrow" w:cs="Arial"/>
          <w:sz w:val="20"/>
          <w:szCs w:val="20"/>
        </w:rPr>
      </w:pPr>
      <w:r w:rsidRPr="00F13113">
        <w:rPr>
          <w:rFonts w:ascii="Arial Narrow" w:hAnsi="Arial Narrow" w:cs="Arial"/>
          <w:sz w:val="20"/>
          <w:szCs w:val="20"/>
        </w:rPr>
        <w:t xml:space="preserve">RESOLVED that the Town Board of the Town of </w:t>
      </w:r>
      <w:smartTag w:uri="urn:schemas-microsoft-com:office:smarttags" w:element="City">
        <w:smartTag w:uri="urn:schemas-microsoft-com:office:smarttags" w:element="place">
          <w:r w:rsidRPr="00F13113">
            <w:rPr>
              <w:rFonts w:ascii="Arial Narrow" w:hAnsi="Arial Narrow" w:cs="Arial"/>
              <w:sz w:val="20"/>
              <w:szCs w:val="20"/>
            </w:rPr>
            <w:t>Germantown</w:t>
          </w:r>
        </w:smartTag>
      </w:smartTag>
      <w:r w:rsidRPr="00F13113">
        <w:rPr>
          <w:rFonts w:ascii="Arial Narrow" w:hAnsi="Arial Narrow" w:cs="Arial"/>
          <w:sz w:val="20"/>
          <w:szCs w:val="20"/>
        </w:rPr>
        <w:t xml:space="preserve"> does hereby concur that the aforementioned exemptions to not have an identified countywide or inter-community impact and agree that such actions shall no longer be referred to the Columbia County Planning Board for review and recommendation, and be it further</w:t>
      </w:r>
    </w:p>
    <w:p w:rsidR="007C1349" w:rsidRPr="00F13113" w:rsidRDefault="007C1349" w:rsidP="007C1349">
      <w:pPr>
        <w:pStyle w:val="Header"/>
        <w:tabs>
          <w:tab w:val="clear" w:pos="4320"/>
          <w:tab w:val="clear" w:pos="8640"/>
        </w:tabs>
        <w:rPr>
          <w:rFonts w:ascii="Arial Narrow" w:hAnsi="Arial Narrow" w:cs="Arial"/>
          <w:sz w:val="20"/>
          <w:szCs w:val="20"/>
        </w:rPr>
      </w:pPr>
    </w:p>
    <w:p w:rsidR="007C1349" w:rsidRPr="00F13113" w:rsidRDefault="007C1349" w:rsidP="007C1349">
      <w:pPr>
        <w:pStyle w:val="Header"/>
        <w:tabs>
          <w:tab w:val="clear" w:pos="4320"/>
          <w:tab w:val="clear" w:pos="8640"/>
        </w:tabs>
        <w:rPr>
          <w:rFonts w:ascii="Arial Narrow" w:hAnsi="Arial Narrow" w:cs="Arial"/>
          <w:sz w:val="20"/>
          <w:szCs w:val="20"/>
        </w:rPr>
      </w:pPr>
      <w:r w:rsidRPr="00F13113">
        <w:rPr>
          <w:rFonts w:ascii="Arial Narrow" w:hAnsi="Arial Narrow" w:cs="Arial"/>
          <w:sz w:val="20"/>
          <w:szCs w:val="20"/>
        </w:rPr>
        <w:t>RESOLVED, that the Town Board of the Town of Germantown, hereby reserves the right to request a review and recommendation on any of the aforementioned exempt action, if in their opinion such review and recommendation are warranted due to the specific circumstances of the requested action.</w:t>
      </w:r>
    </w:p>
    <w:p w:rsidR="007C1349" w:rsidRDefault="007C1349" w:rsidP="007C1349">
      <w:pPr>
        <w:pStyle w:val="Header"/>
        <w:tabs>
          <w:tab w:val="clear" w:pos="4320"/>
          <w:tab w:val="clear" w:pos="8640"/>
        </w:tabs>
        <w:rPr>
          <w:rFonts w:ascii="Arial" w:hAnsi="Arial" w:cs="Arial"/>
        </w:rPr>
      </w:pPr>
    </w:p>
    <w:p w:rsidR="007C1349" w:rsidRDefault="007C1349" w:rsidP="007C1349">
      <w:pPr>
        <w:pStyle w:val="Header"/>
        <w:tabs>
          <w:tab w:val="clear" w:pos="4320"/>
          <w:tab w:val="clear" w:pos="8640"/>
        </w:tabs>
        <w:rPr>
          <w:rFonts w:ascii="Arial" w:hAnsi="Arial" w:cs="Arial"/>
        </w:rPr>
      </w:pPr>
      <w:r>
        <w:rPr>
          <w:rFonts w:ascii="Arial" w:hAnsi="Arial" w:cs="Arial"/>
        </w:rPr>
        <w:t>Motion to approve the resolution was made by Councilman Westmore with a second by Councilwoman Snyder.</w:t>
      </w:r>
    </w:p>
    <w:p w:rsidR="007C1349" w:rsidRDefault="007C1349" w:rsidP="007C1349">
      <w:pPr>
        <w:rPr>
          <w:rFonts w:ascii="Arial" w:hAnsi="Arial" w:cs="Arial"/>
        </w:rPr>
      </w:pPr>
      <w:r>
        <w:rPr>
          <w:rFonts w:ascii="Arial" w:hAnsi="Arial" w:cs="Arial"/>
        </w:rPr>
        <w:t>Supervisor Brown:</w:t>
      </w:r>
      <w:r>
        <w:rPr>
          <w:rFonts w:ascii="Arial" w:hAnsi="Arial" w:cs="Arial"/>
        </w:rPr>
        <w:tab/>
      </w:r>
      <w:r>
        <w:rPr>
          <w:rFonts w:ascii="Arial" w:hAnsi="Arial" w:cs="Arial"/>
        </w:rPr>
        <w:tab/>
        <w:t>Aye</w:t>
      </w:r>
      <w:r>
        <w:rPr>
          <w:rFonts w:ascii="Arial" w:hAnsi="Arial" w:cs="Arial"/>
        </w:rPr>
        <w:tab/>
      </w:r>
      <w:r>
        <w:rPr>
          <w:rFonts w:ascii="Arial" w:hAnsi="Arial" w:cs="Arial"/>
        </w:rPr>
        <w:tab/>
      </w:r>
      <w:r>
        <w:rPr>
          <w:rFonts w:ascii="Arial" w:hAnsi="Arial" w:cs="Arial"/>
        </w:rPr>
        <w:tab/>
        <w:t>Councilwoman Snyder:</w:t>
      </w:r>
      <w:r>
        <w:rPr>
          <w:rFonts w:ascii="Arial" w:hAnsi="Arial" w:cs="Arial"/>
        </w:rPr>
        <w:tab/>
        <w:t>Aye</w:t>
      </w:r>
    </w:p>
    <w:p w:rsidR="007C1349" w:rsidRDefault="007C1349" w:rsidP="007C1349">
      <w:pPr>
        <w:rPr>
          <w:rFonts w:ascii="Arial" w:hAnsi="Arial" w:cs="Arial"/>
        </w:rPr>
      </w:pPr>
      <w:r w:rsidRPr="00C8403B">
        <w:rPr>
          <w:rFonts w:ascii="Arial" w:hAnsi="Arial" w:cs="Arial"/>
        </w:rPr>
        <w:t>Councilman Craig:</w:t>
      </w:r>
      <w:r w:rsidRPr="00C8403B">
        <w:rPr>
          <w:rFonts w:ascii="Arial" w:hAnsi="Arial" w:cs="Arial"/>
        </w:rPr>
        <w:tab/>
      </w:r>
      <w:r w:rsidRPr="00C8403B">
        <w:rPr>
          <w:rFonts w:ascii="Arial" w:hAnsi="Arial" w:cs="Arial"/>
        </w:rPr>
        <w:tab/>
        <w:t>Aye</w:t>
      </w:r>
      <w:r>
        <w:rPr>
          <w:rFonts w:ascii="Arial" w:hAnsi="Arial" w:cs="Arial"/>
        </w:rPr>
        <w:tab/>
      </w:r>
      <w:r>
        <w:rPr>
          <w:rFonts w:ascii="Arial" w:hAnsi="Arial" w:cs="Arial"/>
        </w:rPr>
        <w:tab/>
      </w:r>
      <w:r>
        <w:rPr>
          <w:rFonts w:ascii="Arial" w:hAnsi="Arial" w:cs="Arial"/>
        </w:rPr>
        <w:tab/>
        <w:t>Councilman Mortenson:</w:t>
      </w:r>
      <w:r>
        <w:rPr>
          <w:rFonts w:ascii="Arial" w:hAnsi="Arial" w:cs="Arial"/>
        </w:rPr>
        <w:tab/>
        <w:t>Aye</w:t>
      </w:r>
      <w:r>
        <w:rPr>
          <w:rFonts w:ascii="Arial" w:hAnsi="Arial" w:cs="Arial"/>
        </w:rPr>
        <w:tab/>
      </w:r>
    </w:p>
    <w:p w:rsidR="007C1349" w:rsidRDefault="007C1349" w:rsidP="007C1349">
      <w:pPr>
        <w:rPr>
          <w:rFonts w:ascii="Arial" w:hAnsi="Arial" w:cs="Arial"/>
        </w:rPr>
      </w:pPr>
      <w:r>
        <w:rPr>
          <w:rFonts w:ascii="Arial" w:hAnsi="Arial" w:cs="Arial"/>
        </w:rPr>
        <w:t>Councilman Westmore:</w:t>
      </w:r>
      <w:r>
        <w:rPr>
          <w:rFonts w:ascii="Arial" w:hAnsi="Arial" w:cs="Arial"/>
        </w:rPr>
        <w:tab/>
        <w:t>Aye</w:t>
      </w:r>
    </w:p>
    <w:p w:rsidR="007C1349" w:rsidRDefault="007C1349" w:rsidP="007C1349">
      <w:pPr>
        <w:pStyle w:val="Header"/>
        <w:tabs>
          <w:tab w:val="clear" w:pos="4320"/>
          <w:tab w:val="clear" w:pos="8640"/>
        </w:tabs>
        <w:rPr>
          <w:rFonts w:ascii="Arial" w:hAnsi="Arial" w:cs="Arial"/>
        </w:rPr>
      </w:pPr>
    </w:p>
    <w:p w:rsidR="00646219" w:rsidRDefault="007C1349"/>
    <w:sectPr w:rsidR="00646219" w:rsidSect="001A17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A18B2"/>
    <w:multiLevelType w:val="hybridMultilevel"/>
    <w:tmpl w:val="852EB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proofState w:spelling="clean"/>
  <w:defaultTabStop w:val="720"/>
  <w:characterSpacingControl w:val="doNotCompress"/>
  <w:compat>
    <w:useFELayout/>
  </w:compat>
  <w:rsids>
    <w:rsidRoot w:val="007C1349"/>
    <w:rsid w:val="001A173B"/>
    <w:rsid w:val="00335D02"/>
    <w:rsid w:val="00387C2B"/>
    <w:rsid w:val="0041197F"/>
    <w:rsid w:val="004B2DE9"/>
    <w:rsid w:val="004F164F"/>
    <w:rsid w:val="005D46A2"/>
    <w:rsid w:val="007B3C7A"/>
    <w:rsid w:val="007C1349"/>
    <w:rsid w:val="00832248"/>
    <w:rsid w:val="00A7710D"/>
    <w:rsid w:val="00F00E3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theme="minorBidi"/>
        <w:color w:val="000000" w:themeColor="text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349"/>
    <w:rPr>
      <w:rFonts w:ascii="Times New Roman" w:eastAsia="Times New Roman" w:hAnsi="Times New Roman" w:cs="Times New Roman"/>
      <w:color w:val="aut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7C1349"/>
    <w:pPr>
      <w:tabs>
        <w:tab w:val="center" w:pos="4320"/>
        <w:tab w:val="right" w:pos="8640"/>
      </w:tabs>
    </w:pPr>
  </w:style>
  <w:style w:type="character" w:customStyle="1" w:styleId="HeaderChar">
    <w:name w:val="Header Char"/>
    <w:basedOn w:val="DefaultParagraphFont"/>
    <w:link w:val="Header"/>
    <w:semiHidden/>
    <w:rsid w:val="007C1349"/>
    <w:rPr>
      <w:rFonts w:ascii="Times New Roman" w:eastAsia="Times New Roman" w:hAnsi="Times New Roman" w:cs="Times New Roman"/>
      <w:color w:val="auto"/>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801</Words>
  <Characters>4567</Characters>
  <Application>Microsoft Office Word</Application>
  <DocSecurity>0</DocSecurity>
  <Lines>38</Lines>
  <Paragraphs>10</Paragraphs>
  <ScaleCrop>false</ScaleCrop>
  <Company/>
  <LinksUpToDate>false</LinksUpToDate>
  <CharactersWithSpaces>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Westmore</dc:creator>
  <cp:lastModifiedBy>Donald Westmore</cp:lastModifiedBy>
  <cp:revision>1</cp:revision>
  <dcterms:created xsi:type="dcterms:W3CDTF">2013-06-20T20:31:00Z</dcterms:created>
  <dcterms:modified xsi:type="dcterms:W3CDTF">2013-06-20T20:34:00Z</dcterms:modified>
</cp:coreProperties>
</file>